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82" w:rsidRDefault="007D3582" w:rsidP="007D3582">
      <w:r>
        <w:t>Europarlamendi valimised 2014</w:t>
      </w:r>
    </w:p>
    <w:p w:rsidR="007D3582" w:rsidRPr="007D3582" w:rsidRDefault="007D3582" w:rsidP="007D3582">
      <w:pPr>
        <w:rPr>
          <w:b/>
        </w:rPr>
      </w:pPr>
      <w:r w:rsidRPr="007D3582">
        <w:rPr>
          <w:b/>
        </w:rPr>
        <w:t>Kandidaadi deklaratsioon korruptsioonivastaseks tegevuseks</w:t>
      </w:r>
    </w:p>
    <w:p w:rsidR="007D3582" w:rsidRDefault="007D3582" w:rsidP="007D3582">
      <w:r>
        <w:t>Euroopa Liidu 2013. aasta korruptsioonivastane rapor</w:t>
      </w:r>
      <w:bookmarkStart w:id="0" w:name="_GoBack"/>
      <w:bookmarkEnd w:id="0"/>
      <w:r>
        <w:t>t näitas, et korruptsioon on oluline probleem kõigis 28 liikmesriigis ning lahenduste leidmiseks tuleks ette võtta kiireid ja otsustavaid samme.</w:t>
      </w:r>
    </w:p>
    <w:p w:rsidR="007D3582" w:rsidRDefault="007D3582" w:rsidP="007D3582">
      <w:r>
        <w:t>Käesolevaga kinnitan, et järgmise Euroopa Parlamendi (2014-2019) mandaadi saamisel olen mina, Euroopa Parlamendi valimiste kandidaat</w:t>
      </w:r>
      <w:r w:rsidR="00FC61EB">
        <w:t xml:space="preserve"> /</w:t>
      </w:r>
      <w:r w:rsidR="00F338CF">
        <w:t xml:space="preserve"> o</w:t>
      </w:r>
      <w:r w:rsidR="00C772DC">
        <w:t>n</w:t>
      </w:r>
      <w:r w:rsidR="00F338CF">
        <w:t xml:space="preserve"> </w:t>
      </w:r>
      <w:r w:rsidR="00FC61EB">
        <w:t>meie erakonna valimisnimekiri Euroopa Parlamendi valimistel</w:t>
      </w:r>
      <w:r>
        <w:t>, pühendunud korruptsioonivastasele võitlusele ja läbipaistva, usaldusväärse ja ausa Euroopa Liidu poliitika, seaduste  ja institutsioonide arendamisele.</w:t>
      </w:r>
    </w:p>
    <w:p w:rsidR="007D3582" w:rsidRDefault="007D3582" w:rsidP="007D3582">
      <w:r>
        <w:t>Eesmärkide saavutamiseks pühendun/pühendub meie erakond koostööle kodanikuühiskonna organisatsioonide ja teiste osapooltega järgmistes valdkondades:</w:t>
      </w:r>
    </w:p>
    <w:p w:rsidR="007D3582" w:rsidRDefault="007D3582" w:rsidP="007D3582">
      <w:r>
        <w:t>1.       EL-i valitsemisest ja seaduseloomest saab üleilmne eeskuju  ja standard läbipaistvusele, vastutusele ja aususele. Mina/Meie erakond kohustume pidama kinni Euroopa Parlamendi liikme käitumiskoodeksi tekstist ja väärtustest ja avalikustan/avalikustame nende „seaduste jalajälje”, mille loomesse ma/meie erakond oma ametiaja jooksul kaasatud olen/oleme.</w:t>
      </w:r>
    </w:p>
    <w:p w:rsidR="007D3582" w:rsidRDefault="007D3582" w:rsidP="007D3582">
      <w:r>
        <w:t>2.       Toetan/toetame suuremat läbipaistvust avalike ressursside kasutamisel. Tagan/tagame, et informatsioon EL-i raha kasutamise kohta on kodanikele lihtsalt leitav ja loetav ning järgib avaandmete head tava. EL-i hankereeglid peavad järgima avatud hanke põhimõtteid (</w:t>
      </w:r>
      <w:proofErr w:type="spellStart"/>
      <w:r>
        <w:t>open</w:t>
      </w:r>
      <w:proofErr w:type="spellEnd"/>
      <w:r>
        <w:t xml:space="preserve"> </w:t>
      </w:r>
      <w:proofErr w:type="spellStart"/>
      <w:r>
        <w:t>contracting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) ning huvide konflikti vältimiseks on kasutusele võetud efektiivsed meetmed. See kehtib nii rahvuslikele kui EL-i üksustele.   </w:t>
      </w:r>
    </w:p>
    <w:p w:rsidR="007D3582" w:rsidRDefault="007D3582" w:rsidP="007D3582">
      <w:r>
        <w:t xml:space="preserve">3.        EL toetab algatusi ja seadusi, mis tagavad </w:t>
      </w:r>
      <w:proofErr w:type="spellStart"/>
      <w:r>
        <w:t>vilepuhujatele</w:t>
      </w:r>
      <w:proofErr w:type="spellEnd"/>
      <w:r>
        <w:t xml:space="preserve"> tõhusa kaitse nii avalikus, era- kui kolmandas sektoris.</w:t>
      </w:r>
    </w:p>
    <w:p w:rsidR="007D3582" w:rsidRDefault="007D3582" w:rsidP="007D3582">
      <w:r>
        <w:t>N</w:t>
      </w:r>
      <w:r w:rsidR="00465DC5">
        <w:t>imi</w:t>
      </w:r>
      <w:r w:rsidR="00070C90">
        <w:t xml:space="preserve">, </w:t>
      </w:r>
      <w:r>
        <w:t>erakond või üksikkandidaat</w:t>
      </w:r>
      <w:r w:rsidR="00196A9C">
        <w:t>, kuupäev</w:t>
      </w:r>
    </w:p>
    <w:p w:rsidR="007D3582" w:rsidRDefault="007D3582" w:rsidP="007D3582"/>
    <w:p w:rsidR="007D3582" w:rsidRPr="00454671" w:rsidRDefault="007D3582" w:rsidP="007D3582">
      <w:pPr>
        <w:rPr>
          <w:u w:val="single"/>
        </w:rPr>
      </w:pPr>
      <w:r w:rsidRPr="00454671">
        <w:rPr>
          <w:u w:val="single"/>
        </w:rPr>
        <w:t>Mis juhtub pärast deklaratsiooni allkirjastamist?</w:t>
      </w:r>
    </w:p>
    <w:p w:rsidR="00AD51F9" w:rsidRDefault="007D3582" w:rsidP="007D3582">
      <w:r>
        <w:t xml:space="preserve">Pärast </w:t>
      </w:r>
      <w:r w:rsidR="00454671">
        <w:t xml:space="preserve">kandidaadi poolt allkirjastatud </w:t>
      </w:r>
      <w:r>
        <w:t xml:space="preserve">deklaratsiooni </w:t>
      </w:r>
      <w:r w:rsidR="00454671">
        <w:t xml:space="preserve">saamist </w:t>
      </w:r>
      <w:r>
        <w:t xml:space="preserve">võtab Korruptsioonivaba Eesti (KVE) kandidaadiga ühendust ja kinnitab tema nõusolekut avalikustada </w:t>
      </w:r>
      <w:r w:rsidR="00454671">
        <w:t xml:space="preserve">allkiri </w:t>
      </w:r>
      <w:r>
        <w:t xml:space="preserve">KVE kodulehel. Käesolevale deklaratsioonile kogutakse allkirju üle Euroopa Liidu ja </w:t>
      </w:r>
      <w:proofErr w:type="spellStart"/>
      <w:r>
        <w:t>Transparency</w:t>
      </w:r>
      <w:proofErr w:type="spellEnd"/>
      <w:r>
        <w:t xml:space="preserve"> International koondab ühte nimekirja kõik deklaratsiooni toetanud kandidaadid ja erakonnad. Valituks osutunud kuue Euroopa Parlamendi liikmega </w:t>
      </w:r>
      <w:r w:rsidR="00495359">
        <w:t xml:space="preserve">lepivad </w:t>
      </w:r>
      <w:r>
        <w:t xml:space="preserve">Korruptsioonivaba Eesti ja </w:t>
      </w:r>
      <w:proofErr w:type="spellStart"/>
      <w:r>
        <w:t>Transparency</w:t>
      </w:r>
      <w:proofErr w:type="spellEnd"/>
      <w:r>
        <w:t xml:space="preserve"> Internationali EL-i kontor </w:t>
      </w:r>
      <w:r w:rsidR="00495359">
        <w:t>kokku e</w:t>
      </w:r>
      <w:r>
        <w:t xml:space="preserve">dasises praktilises koostöös deklaratsiooni punktide elluviimisel. Vajadusel pakub </w:t>
      </w:r>
      <w:proofErr w:type="spellStart"/>
      <w:r>
        <w:t>Transparency</w:t>
      </w:r>
      <w:proofErr w:type="spellEnd"/>
      <w:r>
        <w:t xml:space="preserve"> International saadikutele edasist nõustamist ja konsultatsiooni.</w:t>
      </w:r>
    </w:p>
    <w:p w:rsidR="003B30E6" w:rsidRDefault="003B30E6">
      <w:r>
        <w:br w:type="page"/>
      </w:r>
    </w:p>
    <w:p w:rsidR="003B30E6" w:rsidRPr="00D702D8" w:rsidRDefault="003B30E6" w:rsidP="003B30E6">
      <w:pPr>
        <w:pStyle w:val="Standard"/>
        <w:pageBreakBefore/>
        <w:rPr>
          <w:lang w:val="et-EE"/>
        </w:rPr>
      </w:pPr>
      <w:r w:rsidRPr="00D702D8">
        <w:rPr>
          <w:b/>
          <w:u w:val="single"/>
          <w:lang w:val="et-EE"/>
        </w:rPr>
        <w:lastRenderedPageBreak/>
        <w:t>Lisa</w:t>
      </w:r>
    </w:p>
    <w:p w:rsidR="003B30E6" w:rsidRPr="00D702D8" w:rsidRDefault="003B30E6" w:rsidP="003B30E6">
      <w:pPr>
        <w:pStyle w:val="Loendilik"/>
        <w:numPr>
          <w:ilvl w:val="0"/>
          <w:numId w:val="2"/>
        </w:numPr>
        <w:spacing w:after="0"/>
        <w:rPr>
          <w:lang w:val="et-EE"/>
        </w:rPr>
      </w:pPr>
      <w:r w:rsidRPr="00D702D8">
        <w:rPr>
          <w:b/>
          <w:lang w:val="et-EE"/>
        </w:rPr>
        <w:t>EL-i institutsioonid kui näide läbipaistvusest, vastutusest ja aususest</w:t>
      </w:r>
    </w:p>
    <w:p w:rsidR="003B30E6" w:rsidRPr="00D702D8" w:rsidRDefault="003B30E6" w:rsidP="003B30E6">
      <w:pPr>
        <w:pStyle w:val="Standard"/>
        <w:jc w:val="both"/>
        <w:rPr>
          <w:lang w:val="et-EE"/>
        </w:rPr>
      </w:pPr>
      <w:r w:rsidRPr="00D702D8">
        <w:rPr>
          <w:lang w:val="et-EE"/>
        </w:rPr>
        <w:t>Parlamendid on demokraatia nurgakiviks. Parlamendi töö õnnestumise aluseks on edukas kodanike huvide esindatus ja rahva usaldus selle ülesande täitmisel. Sellele vaatamata näitavad viimased Eurobaromeetri tulemused, et 70% EL-i kodanikest on arvamusel, et EL-i institutsioonid on korrumpeerunud.</w:t>
      </w:r>
      <w:r w:rsidRPr="00D702D8">
        <w:rPr>
          <w:rStyle w:val="Allmrkuseviide"/>
          <w:lang w:val="et-EE"/>
        </w:rPr>
        <w:footnoteReference w:id="1"/>
      </w:r>
      <w:r w:rsidRPr="00D702D8">
        <w:rPr>
          <w:lang w:val="et-EE"/>
        </w:rPr>
        <w:t xml:space="preserve">  2011. aastal võttis Euroopa Parlament vastu Käitumiskoodeks</w:t>
      </w:r>
      <w:r w:rsidRPr="00D702D8">
        <w:rPr>
          <w:rStyle w:val="Allmrkuseviide"/>
          <w:lang w:val="et-EE"/>
        </w:rPr>
        <w:footnoteReference w:id="2"/>
      </w:r>
      <w:r w:rsidRPr="00D702D8">
        <w:rPr>
          <w:lang w:val="et-EE"/>
        </w:rPr>
        <w:t xml:space="preserve">, sätestades sellega parlamendiliikmetele seaduslikud ja aktsepteeritavad käitumisreeglid. Käitumiskoodeks keelab parlamendisaadikutel käituda </w:t>
      </w:r>
      <w:proofErr w:type="spellStart"/>
      <w:r w:rsidRPr="00D702D8">
        <w:rPr>
          <w:lang w:val="et-EE"/>
        </w:rPr>
        <w:t>lobistina</w:t>
      </w:r>
      <w:proofErr w:type="spellEnd"/>
      <w:r w:rsidRPr="00D702D8">
        <w:rPr>
          <w:lang w:val="et-EE"/>
        </w:rPr>
        <w:t xml:space="preserve"> ja kohustab detailselt avalikustama oma majandushuvid. Siiski on teatavad valukohad</w:t>
      </w:r>
      <w:r w:rsidRPr="00D702D8">
        <w:rPr>
          <w:rStyle w:val="Allmrkuseviide"/>
          <w:lang w:val="et-EE"/>
        </w:rPr>
        <w:footnoteReference w:id="3"/>
      </w:r>
      <w:r w:rsidRPr="00D702D8">
        <w:rPr>
          <w:lang w:val="et-EE"/>
        </w:rPr>
        <w:t>, mis õõnestavad Euroopa kodanike usaldust oma esindajate vastu.</w:t>
      </w:r>
    </w:p>
    <w:p w:rsidR="003B30E6" w:rsidRPr="00D702D8" w:rsidRDefault="003B30E6" w:rsidP="003B30E6">
      <w:pPr>
        <w:pStyle w:val="Standard"/>
        <w:jc w:val="both"/>
        <w:rPr>
          <w:lang w:val="et-EE"/>
        </w:rPr>
      </w:pPr>
      <w:r w:rsidRPr="00D702D8">
        <w:rPr>
          <w:lang w:val="et-EE"/>
        </w:rPr>
        <w:t xml:space="preserve">Parlamendisaadikud peaksid püüdlema võimalikult ausa ja avatud parlamendi poole </w:t>
      </w:r>
      <w:r w:rsidRPr="00D702D8">
        <w:rPr>
          <w:rStyle w:val="Allmrkuseviide"/>
          <w:lang w:val="et-EE"/>
        </w:rPr>
        <w:footnoteReference w:id="4"/>
      </w:r>
      <w:r w:rsidRPr="00D702D8">
        <w:rPr>
          <w:lang w:val="et-EE"/>
        </w:rPr>
        <w:t>, mille juurde võiks kuuluda töökohavahetuse piirangud, topelt-töö keeld ja ka karmid sanktsioonid käitumisreeglite rikkumisel. Lisaks võiks kõik saadikud vabatahtlikult avalikustada „seaduse jalajälje”</w:t>
      </w:r>
      <w:r w:rsidRPr="00D702D8">
        <w:rPr>
          <w:rStyle w:val="Allmrkuseviide"/>
          <w:lang w:val="et-EE"/>
        </w:rPr>
        <w:footnoteReference w:id="5"/>
      </w:r>
      <w:r w:rsidRPr="00D702D8">
        <w:rPr>
          <w:lang w:val="et-EE"/>
        </w:rPr>
        <w:t>, mis süsteemselt täpsustaks kõikide seaduse väljatöötamisse kaasatud olnud osapoolte panused ja täiendused sellesse seadusesse.</w:t>
      </w:r>
    </w:p>
    <w:p w:rsidR="003B30E6" w:rsidRPr="00D702D8" w:rsidRDefault="003B30E6" w:rsidP="003B30E6">
      <w:pPr>
        <w:pStyle w:val="Standard"/>
        <w:numPr>
          <w:ilvl w:val="0"/>
          <w:numId w:val="1"/>
        </w:numPr>
        <w:spacing w:after="0"/>
        <w:rPr>
          <w:lang w:val="et-EE"/>
        </w:rPr>
      </w:pPr>
      <w:r w:rsidRPr="00D702D8">
        <w:rPr>
          <w:b/>
          <w:bCs/>
          <w:u w:val="single"/>
          <w:lang w:val="et-EE"/>
        </w:rPr>
        <w:t>Suurem läbipaistvus avalike ressursside kasutamisel</w:t>
      </w:r>
    </w:p>
    <w:p w:rsidR="003B30E6" w:rsidRPr="00D702D8" w:rsidRDefault="003B30E6" w:rsidP="003B30E6">
      <w:pPr>
        <w:pStyle w:val="Standard"/>
        <w:spacing w:after="0"/>
        <w:jc w:val="both"/>
        <w:rPr>
          <w:lang w:val="et-EE"/>
        </w:rPr>
      </w:pPr>
      <w:r w:rsidRPr="00D702D8">
        <w:rPr>
          <w:lang w:val="et-EE"/>
        </w:rPr>
        <w:t xml:space="preserve">Riigihankeid peetakse juba ammu kõige pettuse- ja korruptsioonialtimaks valitsemise valdkonnaks.  Paljudes liikmesriikides on kõrgetasemeline korruptsioon ja hangetes liikuvad  suured rahasummad (2008. aastal moodustas EL-i liikmesriikide avaliku sektori hangete kogusumma ca 15% EL-i </w:t>
      </w:r>
      <w:proofErr w:type="spellStart"/>
      <w:r w:rsidRPr="00D702D8">
        <w:rPr>
          <w:lang w:val="et-EE"/>
        </w:rPr>
        <w:t>SKP-st</w:t>
      </w:r>
      <w:proofErr w:type="spellEnd"/>
      <w:r w:rsidRPr="00D702D8">
        <w:rPr>
          <w:lang w:val="et-EE"/>
        </w:rPr>
        <w:t xml:space="preserve"> (1,7 triljonit </w:t>
      </w:r>
      <w:r w:rsidRPr="00D702D8">
        <w:rPr>
          <w:rFonts w:cs="EuroSans-Regular"/>
          <w:lang w:val="et-EE" w:eastAsia="en-GB"/>
        </w:rPr>
        <w:t>€) suuremahulise avalike vahendite raiskamise peamiseks põhjuseks. See aga õõnestab kodanike usaldust valitsuse ja demokraatliku süsteemi vastu laiemalt. Kuigi EL-i direktiividest lähtuv seadusandlus on jõustunud kõikides EL-i liikmesriikides, vajavad need protsessid oluliselt suuremat läbipaistvust ja järelevalvet.</w:t>
      </w:r>
    </w:p>
    <w:p w:rsidR="003B30E6" w:rsidRPr="00D702D8" w:rsidRDefault="003B30E6" w:rsidP="003B30E6">
      <w:pPr>
        <w:pStyle w:val="Standard"/>
        <w:spacing w:after="0"/>
        <w:jc w:val="both"/>
        <w:rPr>
          <w:lang w:val="et-EE"/>
        </w:rPr>
      </w:pPr>
    </w:p>
    <w:p w:rsidR="003B30E6" w:rsidRPr="00D702D8" w:rsidRDefault="003B30E6" w:rsidP="003B30E6">
      <w:pPr>
        <w:pStyle w:val="Standard"/>
        <w:spacing w:after="0"/>
        <w:jc w:val="both"/>
        <w:rPr>
          <w:lang w:val="et-EE"/>
        </w:rPr>
      </w:pPr>
      <w:r w:rsidRPr="00D702D8">
        <w:rPr>
          <w:rFonts w:cs="EuroSans-Regular"/>
          <w:lang w:val="et-EE" w:eastAsia="en-GB"/>
        </w:rPr>
        <w:lastRenderedPageBreak/>
        <w:t>Saadikud peaksid püüdlema</w:t>
      </w:r>
      <w:r w:rsidRPr="00D702D8">
        <w:rPr>
          <w:lang w:val="et-EE"/>
        </w:rPr>
        <w:t xml:space="preserve"> Avatud Hanke Põhimõtetes</w:t>
      </w:r>
      <w:r w:rsidRPr="00D702D8">
        <w:rPr>
          <w:rStyle w:val="Allmrkuseviide"/>
          <w:rFonts w:cs="EuroSans-Regular"/>
          <w:lang w:val="et-EE" w:eastAsia="en-GB"/>
        </w:rPr>
        <w:footnoteReference w:id="6"/>
      </w:r>
      <w:r w:rsidRPr="00D702D8">
        <w:rPr>
          <w:rFonts w:cs="EuroSans-Regular"/>
          <w:lang w:val="et-EE" w:eastAsia="en-GB"/>
        </w:rPr>
        <w:t xml:space="preserve"> kirjeldatud hankealase informatsiooni suurema avalikustamise ja </w:t>
      </w:r>
      <w:proofErr w:type="spellStart"/>
      <w:r w:rsidRPr="00D702D8">
        <w:rPr>
          <w:rFonts w:cs="EuroSans-Regular"/>
          <w:lang w:val="et-EE" w:eastAsia="en-GB"/>
        </w:rPr>
        <w:t>kaasatuse</w:t>
      </w:r>
      <w:proofErr w:type="spellEnd"/>
      <w:r w:rsidRPr="00D702D8">
        <w:rPr>
          <w:rFonts w:cs="EuroSans-Regular"/>
          <w:lang w:val="et-EE" w:eastAsia="en-GB"/>
        </w:rPr>
        <w:t xml:space="preserve"> poole, ja seda nii kohalikul kui liidu tasandil. See tähendab suuremahulist, kuid kvaliteetset ja ligipääsetavat hankedokumentatsiooni ja e-hangete süsteemi.</w:t>
      </w:r>
    </w:p>
    <w:p w:rsidR="003B30E6" w:rsidRPr="00D702D8" w:rsidRDefault="003B30E6" w:rsidP="003B30E6">
      <w:pPr>
        <w:pStyle w:val="Standard"/>
        <w:spacing w:after="0"/>
        <w:jc w:val="both"/>
        <w:rPr>
          <w:lang w:val="et-EE"/>
        </w:rPr>
      </w:pPr>
      <w:r w:rsidRPr="00D702D8">
        <w:rPr>
          <w:rFonts w:cs="EuroSans-Regular"/>
          <w:lang w:val="et-EE" w:eastAsia="en-GB"/>
        </w:rPr>
        <w:t xml:space="preserve">Erilist tähelepanu peaks pälvima just Euroopa Liidu rahade kasutamine. Lähtuvalt Eurobaromeetri uuringust ei usu 52% Euroopa kodanikest, et EL-i institutsioonid aitavad kaasa korruptsiooni vähendamisele Euroopas. Parlamendiliikmed peaks olema selles vallas teenäitajad, nõudes, et Euroopa fondide rahade kasutamine avalikustatakse </w:t>
      </w:r>
      <w:r w:rsidRPr="00D702D8">
        <w:rPr>
          <w:lang w:val="et-EE"/>
        </w:rPr>
        <w:t>lähtuvalt G8 Avaandmete Hartas</w:t>
      </w:r>
      <w:r w:rsidRPr="00D702D8">
        <w:rPr>
          <w:rFonts w:cs="EuroSans-Regular"/>
          <w:lang w:val="et-EE" w:eastAsia="en-GB"/>
        </w:rPr>
        <w:t xml:space="preserve"> </w:t>
      </w:r>
      <w:r w:rsidRPr="00D702D8">
        <w:rPr>
          <w:rStyle w:val="Allmrkuseviide"/>
          <w:rFonts w:cs="EuroSans-Regular"/>
          <w:lang w:val="et-EE" w:eastAsia="en-GB"/>
        </w:rPr>
        <w:footnoteReference w:id="7"/>
      </w:r>
      <w:r w:rsidRPr="00D702D8">
        <w:rPr>
          <w:rFonts w:cs="EuroSans-Regular"/>
          <w:lang w:val="et-EE" w:eastAsia="en-GB"/>
        </w:rPr>
        <w:t xml:space="preserve">  sätestatud standardist.</w:t>
      </w:r>
    </w:p>
    <w:p w:rsidR="003B30E6" w:rsidRPr="00D702D8" w:rsidRDefault="003B30E6" w:rsidP="003B30E6">
      <w:pPr>
        <w:pStyle w:val="Standard"/>
        <w:spacing w:after="0"/>
        <w:jc w:val="both"/>
        <w:rPr>
          <w:b/>
          <w:lang w:val="et-EE"/>
        </w:rPr>
      </w:pPr>
    </w:p>
    <w:p w:rsidR="003B30E6" w:rsidRPr="00D702D8" w:rsidRDefault="003B30E6" w:rsidP="003B30E6">
      <w:pPr>
        <w:pStyle w:val="Loendilik"/>
        <w:numPr>
          <w:ilvl w:val="0"/>
          <w:numId w:val="1"/>
        </w:numPr>
        <w:spacing w:after="0"/>
        <w:rPr>
          <w:lang w:val="et-EE"/>
        </w:rPr>
      </w:pPr>
      <w:r w:rsidRPr="00D702D8">
        <w:rPr>
          <w:b/>
          <w:lang w:val="et-EE"/>
        </w:rPr>
        <w:t xml:space="preserve">Tagada  </w:t>
      </w:r>
      <w:proofErr w:type="spellStart"/>
      <w:r w:rsidRPr="00D702D8">
        <w:rPr>
          <w:b/>
          <w:lang w:val="et-EE"/>
        </w:rPr>
        <w:t>vilepuhujate</w:t>
      </w:r>
      <w:proofErr w:type="spellEnd"/>
      <w:r w:rsidRPr="00D702D8">
        <w:rPr>
          <w:b/>
          <w:lang w:val="et-EE"/>
        </w:rPr>
        <w:t xml:space="preserve"> piisav kaitse</w:t>
      </w:r>
    </w:p>
    <w:p w:rsidR="003B30E6" w:rsidRPr="00D702D8" w:rsidRDefault="003B30E6" w:rsidP="003B30E6">
      <w:pPr>
        <w:pStyle w:val="Loendilik"/>
        <w:spacing w:after="0"/>
        <w:ind w:left="0"/>
        <w:rPr>
          <w:lang w:val="et-EE"/>
        </w:rPr>
      </w:pPr>
    </w:p>
    <w:p w:rsidR="003B30E6" w:rsidRPr="00D702D8" w:rsidRDefault="003B30E6" w:rsidP="003B30E6">
      <w:pPr>
        <w:pStyle w:val="Loendilik"/>
        <w:spacing w:after="0"/>
        <w:ind w:left="0"/>
        <w:rPr>
          <w:lang w:val="et-EE"/>
        </w:rPr>
      </w:pPr>
      <w:r w:rsidRPr="00D702D8">
        <w:rPr>
          <w:lang w:val="et-EE"/>
        </w:rPr>
        <w:t xml:space="preserve">Korruptsiooni-, pettuse ja raiskamise vastase võitluse üheks peamiseks takistuseks on nende praktikate varjatud loomus. Seega on </w:t>
      </w:r>
      <w:proofErr w:type="spellStart"/>
      <w:r w:rsidRPr="00D702D8">
        <w:rPr>
          <w:lang w:val="et-EE"/>
        </w:rPr>
        <w:t>vilepuhujad</w:t>
      </w:r>
      <w:proofErr w:type="spellEnd"/>
      <w:r w:rsidRPr="00D702D8">
        <w:rPr>
          <w:lang w:val="et-EE"/>
        </w:rPr>
        <w:t xml:space="preserve"> taoliste peidetud kuritegude avastamisel kekse tähtsusega, kuid seda tihti isikliku edu ja elu arvelt: teavitades kuritööst, võtavad </w:t>
      </w:r>
      <w:proofErr w:type="spellStart"/>
      <w:r w:rsidRPr="00D702D8">
        <w:rPr>
          <w:lang w:val="et-EE"/>
        </w:rPr>
        <w:t>vilepuhujad</w:t>
      </w:r>
      <w:proofErr w:type="spellEnd"/>
      <w:r w:rsidRPr="00D702D8">
        <w:rPr>
          <w:lang w:val="et-EE"/>
        </w:rPr>
        <w:t xml:space="preserve"> suure personaalse riski.  </w:t>
      </w:r>
      <w:proofErr w:type="spellStart"/>
      <w:r w:rsidRPr="00D702D8">
        <w:rPr>
          <w:lang w:val="et-EE"/>
        </w:rPr>
        <w:t>Vilepuhujate</w:t>
      </w:r>
      <w:proofErr w:type="spellEnd"/>
      <w:r w:rsidRPr="00D702D8">
        <w:rPr>
          <w:lang w:val="et-EE"/>
        </w:rPr>
        <w:t xml:space="preserve"> seadus toetab avalikes huvides oleva informatsiooni avalikustamist. Enamasti tähendaks see </w:t>
      </w:r>
      <w:proofErr w:type="spellStart"/>
      <w:r w:rsidRPr="00D702D8">
        <w:rPr>
          <w:lang w:val="et-EE"/>
        </w:rPr>
        <w:t>vilepuhujate</w:t>
      </w:r>
      <w:proofErr w:type="spellEnd"/>
      <w:r w:rsidRPr="00D702D8">
        <w:rPr>
          <w:lang w:val="et-EE"/>
        </w:rPr>
        <w:t xml:space="preserve"> kaitsmist võimalike  rünnakute eest ja/või nende premeerimist.</w:t>
      </w:r>
    </w:p>
    <w:p w:rsidR="003B30E6" w:rsidRPr="00D702D8" w:rsidRDefault="003B30E6" w:rsidP="003B30E6">
      <w:pPr>
        <w:pStyle w:val="Loendilik"/>
        <w:spacing w:after="0"/>
        <w:ind w:left="0"/>
        <w:rPr>
          <w:lang w:val="et-EE"/>
        </w:rPr>
      </w:pPr>
    </w:p>
    <w:p w:rsidR="003B30E6" w:rsidRPr="00D702D8" w:rsidRDefault="003B30E6" w:rsidP="003B30E6">
      <w:pPr>
        <w:pStyle w:val="Loendilik"/>
        <w:spacing w:after="0"/>
        <w:ind w:left="0"/>
        <w:rPr>
          <w:lang w:val="et-EE"/>
        </w:rPr>
      </w:pPr>
      <w:r w:rsidRPr="00D702D8">
        <w:rPr>
          <w:lang w:val="et-EE"/>
        </w:rPr>
        <w:t xml:space="preserve">Vaid neljas Euroopa Liidu riigis on </w:t>
      </w:r>
      <w:proofErr w:type="spellStart"/>
      <w:r w:rsidRPr="00D702D8">
        <w:rPr>
          <w:lang w:val="et-EE"/>
        </w:rPr>
        <w:t>vilepuhujatele</w:t>
      </w:r>
      <w:proofErr w:type="spellEnd"/>
      <w:r w:rsidRPr="00D702D8">
        <w:rPr>
          <w:lang w:val="et-EE"/>
        </w:rPr>
        <w:t xml:space="preserve"> pakutav kaitse piisav.</w:t>
      </w:r>
      <w:r w:rsidRPr="00D702D8">
        <w:rPr>
          <w:rStyle w:val="Allmrkuseviide"/>
          <w:lang w:val="et-EE"/>
        </w:rPr>
        <w:footnoteReference w:id="8"/>
      </w:r>
      <w:r w:rsidRPr="00D702D8">
        <w:rPr>
          <w:lang w:val="et-EE"/>
        </w:rPr>
        <w:t xml:space="preserve"> Lähtuvalt Eu</w:t>
      </w:r>
      <w:r>
        <w:rPr>
          <w:lang w:val="et-EE"/>
        </w:rPr>
        <w:t>r</w:t>
      </w:r>
      <w:r w:rsidRPr="00D702D8">
        <w:rPr>
          <w:lang w:val="et-EE"/>
        </w:rPr>
        <w:t>oopa Parlamendi resolutsioonidest  (näiteks 2013. aasta oktoobris vastu võetud resolutsioon</w:t>
      </w:r>
      <w:r w:rsidRPr="00D702D8">
        <w:rPr>
          <w:rStyle w:val="Allmrkuseviide"/>
          <w:lang w:val="et-EE"/>
        </w:rPr>
        <w:footnoteReference w:id="9"/>
      </w:r>
      <w:r w:rsidRPr="00D702D8">
        <w:rPr>
          <w:lang w:val="et-EE"/>
        </w:rPr>
        <w:t xml:space="preserve">), peaks Komisjon kaaluma seadusettepanekut Komisjoni, OECD ja </w:t>
      </w:r>
      <w:proofErr w:type="spellStart"/>
      <w:r w:rsidRPr="00D702D8">
        <w:rPr>
          <w:lang w:val="et-EE"/>
        </w:rPr>
        <w:t>Transparency</w:t>
      </w:r>
      <w:proofErr w:type="spellEnd"/>
      <w:r w:rsidRPr="00D702D8">
        <w:rPr>
          <w:lang w:val="et-EE"/>
        </w:rPr>
        <w:t xml:space="preserve"> Internationali poolt ühiselt väljatöötatud heal taval põhineva  efektiivse ja laiahaardelise EL-i </w:t>
      </w:r>
      <w:proofErr w:type="spellStart"/>
      <w:r w:rsidRPr="00D702D8">
        <w:rPr>
          <w:lang w:val="et-EE"/>
        </w:rPr>
        <w:t>vilepuhujate</w:t>
      </w:r>
      <w:proofErr w:type="spellEnd"/>
      <w:r w:rsidRPr="00D702D8">
        <w:rPr>
          <w:lang w:val="et-EE"/>
        </w:rPr>
        <w:t xml:space="preserve"> programmi arendamiseks. Vastav programm ja EL-i seadused peaks olema vastavuses Euroopa Liidu Põhiõiguste Artiklitega  11, 30 ja 41, mis käsitlevad isiku eneseväljendusõigust, kaitset ebaõiglase vallandamise vastu ja õigust õiglasele kohtumõistmisele.</w:t>
      </w:r>
    </w:p>
    <w:p w:rsidR="003B30E6" w:rsidRPr="00D702D8" w:rsidRDefault="003B30E6" w:rsidP="003B30E6">
      <w:pPr>
        <w:pStyle w:val="Loendilik"/>
        <w:spacing w:after="0"/>
        <w:ind w:left="0"/>
        <w:rPr>
          <w:lang w:val="et-EE"/>
        </w:rPr>
      </w:pPr>
    </w:p>
    <w:p w:rsidR="003B30E6" w:rsidRPr="003B30E6" w:rsidRDefault="003B30E6" w:rsidP="003B30E6">
      <w:pPr>
        <w:pStyle w:val="Loendilik"/>
        <w:spacing w:after="0"/>
        <w:ind w:left="0"/>
        <w:rPr>
          <w:lang w:val="et-EE"/>
        </w:rPr>
      </w:pPr>
      <w:r w:rsidRPr="00D702D8">
        <w:rPr>
          <w:lang w:val="et-EE"/>
        </w:rPr>
        <w:t xml:space="preserve">Seadus peab kehtima nii era- kui avaliku sektori töötajatele, tagades </w:t>
      </w:r>
      <w:proofErr w:type="spellStart"/>
      <w:r w:rsidRPr="00D702D8">
        <w:rPr>
          <w:lang w:val="et-EE"/>
        </w:rPr>
        <w:t>vilepuhujatele</w:t>
      </w:r>
      <w:proofErr w:type="spellEnd"/>
      <w:r w:rsidRPr="00D702D8">
        <w:rPr>
          <w:lang w:val="et-EE"/>
        </w:rPr>
        <w:t xml:space="preserve"> seejuures valiku ohutuid ja turvalisi teavituskanaleid (sh võimaluse jääda anonüümseks). Kõik EL-i institutsioonid </w:t>
      </w:r>
      <w:r w:rsidRPr="00D702D8">
        <w:rPr>
          <w:lang w:val="et-EE"/>
        </w:rPr>
        <w:lastRenderedPageBreak/>
        <w:t>peaksid lähtuvalt seadusandlusest tagama tugeva kaitse ja seadusliku toe ka oma asutuse töötajatele. Hetkel on piisavad teavitus ja kaitsesüsteemid rakendatud vaid Euroopa Komisjonis</w:t>
      </w:r>
      <w:r w:rsidRPr="00D702D8">
        <w:rPr>
          <w:rStyle w:val="Allmrkuseviide"/>
          <w:lang w:val="et-EE"/>
        </w:rPr>
        <w:footnoteReference w:id="10"/>
      </w:r>
    </w:p>
    <w:sectPr w:rsidR="003B30E6" w:rsidRPr="003B30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49D" w:rsidRDefault="0037049D" w:rsidP="003B30E6">
      <w:pPr>
        <w:spacing w:after="0" w:line="240" w:lineRule="auto"/>
      </w:pPr>
      <w:r>
        <w:separator/>
      </w:r>
    </w:p>
  </w:endnote>
  <w:endnote w:type="continuationSeparator" w:id="0">
    <w:p w:rsidR="0037049D" w:rsidRDefault="0037049D" w:rsidP="003B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EuroSans-Regular">
    <w:charset w:val="00"/>
    <w:family w:val="auto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49D" w:rsidRDefault="0037049D" w:rsidP="003B30E6">
      <w:pPr>
        <w:spacing w:after="0" w:line="240" w:lineRule="auto"/>
      </w:pPr>
      <w:r>
        <w:separator/>
      </w:r>
    </w:p>
  </w:footnote>
  <w:footnote w:type="continuationSeparator" w:id="0">
    <w:p w:rsidR="0037049D" w:rsidRDefault="0037049D" w:rsidP="003B30E6">
      <w:pPr>
        <w:spacing w:after="0" w:line="240" w:lineRule="auto"/>
      </w:pPr>
      <w:r>
        <w:continuationSeparator/>
      </w:r>
    </w:p>
  </w:footnote>
  <w:footnote w:id="1">
    <w:p w:rsidR="003B30E6" w:rsidRDefault="003B30E6" w:rsidP="003B30E6">
      <w:pPr>
        <w:pStyle w:val="Allmrkusetekst"/>
      </w:pPr>
      <w:r>
        <w:rPr>
          <w:rStyle w:val="Allmrkuseviide"/>
        </w:rPr>
        <w:footnoteRef/>
      </w:r>
      <w:r>
        <w:t xml:space="preserve">European Commission: Special </w:t>
      </w:r>
      <w:proofErr w:type="spellStart"/>
      <w:r>
        <w:t>Eurobarometer</w:t>
      </w:r>
      <w:proofErr w:type="spellEnd"/>
      <w:r>
        <w:t xml:space="preserve"> 397 – Corruption (</w:t>
      </w:r>
      <w:hyperlink r:id="rId1" w:history="1">
        <w:r>
          <w:t>http://ec.europa.eu/public_opinion/archives/ebs/ebs_397_en.pdf</w:t>
        </w:r>
      </w:hyperlink>
      <w:r>
        <w:t>)</w:t>
      </w:r>
    </w:p>
    <w:p w:rsidR="003B30E6" w:rsidRDefault="003B30E6" w:rsidP="003B30E6">
      <w:pPr>
        <w:pStyle w:val="Footnote"/>
      </w:pPr>
    </w:p>
  </w:footnote>
  <w:footnote w:id="2">
    <w:p w:rsidR="003B30E6" w:rsidRDefault="003B30E6" w:rsidP="003B30E6">
      <w:pPr>
        <w:pStyle w:val="Allmrkusetekst"/>
      </w:pPr>
      <w:r>
        <w:rPr>
          <w:rStyle w:val="Allmrkuseviide"/>
        </w:rPr>
        <w:footnoteRef/>
      </w:r>
      <w:r>
        <w:t>European Parliament: Code of Conduct (</w:t>
      </w:r>
      <w:hyperlink r:id="rId2" w:history="1">
        <w:r>
          <w:t>http://www.europarl.europa.eu/aboutparliament/en/0060f4f133/Ethics-and-transparency.html</w:t>
        </w:r>
      </w:hyperlink>
      <w:r>
        <w:t>)</w:t>
      </w:r>
    </w:p>
    <w:p w:rsidR="003B30E6" w:rsidRDefault="003B30E6" w:rsidP="003B30E6">
      <w:pPr>
        <w:pStyle w:val="Footnote"/>
      </w:pPr>
    </w:p>
  </w:footnote>
  <w:footnote w:id="3">
    <w:p w:rsidR="003B30E6" w:rsidRDefault="003B30E6" w:rsidP="003B30E6">
      <w:pPr>
        <w:pStyle w:val="Allmrkusetekst"/>
      </w:pPr>
      <w:r>
        <w:rPr>
          <w:rStyle w:val="Allmrkuseviide"/>
        </w:rPr>
        <w:footnoteRef/>
      </w:r>
      <w:r>
        <w:t>Transparency International: EU Integrity System Study  (</w:t>
      </w:r>
      <w:hyperlink r:id="rId3" w:history="1">
        <w:r>
          <w:t>http://www.transparencyinternational.eu/focus_areas/eu-integrity-study</w:t>
        </w:r>
      </w:hyperlink>
      <w:r>
        <w:t xml:space="preserve"> )</w:t>
      </w:r>
    </w:p>
    <w:p w:rsidR="003B30E6" w:rsidRDefault="003B30E6" w:rsidP="003B30E6">
      <w:pPr>
        <w:pStyle w:val="Footnote"/>
      </w:pPr>
    </w:p>
  </w:footnote>
  <w:footnote w:id="4">
    <w:p w:rsidR="003B30E6" w:rsidRDefault="003B30E6" w:rsidP="003B30E6">
      <w:pPr>
        <w:pStyle w:val="Allmrkusetekst"/>
      </w:pPr>
      <w:r>
        <w:rPr>
          <w:rStyle w:val="Allmrkuseviide"/>
        </w:rPr>
        <w:footnoteRef/>
      </w:r>
      <w:proofErr w:type="spellStart"/>
      <w:r>
        <w:t>Transparencia</w:t>
      </w:r>
      <w:proofErr w:type="spellEnd"/>
      <w:r>
        <w:t xml:space="preserve"> Mexicana: 10 Principles of #Open Parliament (</w:t>
      </w:r>
      <w:hyperlink r:id="rId4" w:history="1">
        <w:r>
          <w:t>http://www.transparency.org/files/content/event/2013_OpenParliament_EN.jpg</w:t>
        </w:r>
      </w:hyperlink>
      <w:r>
        <w:t>)</w:t>
      </w:r>
    </w:p>
    <w:p w:rsidR="003B30E6" w:rsidRDefault="003B30E6" w:rsidP="003B30E6">
      <w:pPr>
        <w:pStyle w:val="Footnote"/>
      </w:pPr>
    </w:p>
  </w:footnote>
  <w:footnote w:id="5">
    <w:p w:rsidR="003B30E6" w:rsidRDefault="003B30E6" w:rsidP="003B30E6">
      <w:pPr>
        <w:pStyle w:val="Allmrkusetekst"/>
      </w:pPr>
      <w:r>
        <w:rPr>
          <w:rStyle w:val="Allmrkuseviide"/>
        </w:rPr>
        <w:footnoteRef/>
      </w:r>
      <w:r>
        <w:t>Transparency International: Legislative Footprint (</w:t>
      </w:r>
      <w:hyperlink r:id="rId5" w:history="1">
        <w:r>
          <w:t>http://www.transparency.org/files/content/corruptionqas/legislative_footprint.pdf</w:t>
        </w:r>
      </w:hyperlink>
      <w:r>
        <w:t xml:space="preserve"> )</w:t>
      </w:r>
    </w:p>
    <w:p w:rsidR="003B30E6" w:rsidRDefault="003B30E6" w:rsidP="003B30E6">
      <w:pPr>
        <w:pStyle w:val="Footnote"/>
      </w:pPr>
    </w:p>
  </w:footnote>
  <w:footnote w:id="6">
    <w:p w:rsidR="003B30E6" w:rsidRDefault="003B30E6" w:rsidP="003B30E6">
      <w:pPr>
        <w:pStyle w:val="Standard"/>
        <w:spacing w:after="0"/>
      </w:pPr>
      <w:r>
        <w:rPr>
          <w:rStyle w:val="Allmrkuseviide"/>
        </w:rPr>
        <w:footnoteRef/>
      </w:r>
      <w:r>
        <w:t>Open Contracting Partnership: Open Contracting Global Principles</w:t>
      </w:r>
    </w:p>
    <w:p w:rsidR="003B30E6" w:rsidRDefault="003B30E6" w:rsidP="003B30E6">
      <w:pPr>
        <w:pStyle w:val="Allmrkusetekst"/>
      </w:pPr>
      <w:r>
        <w:t>(</w:t>
      </w:r>
      <w:hyperlink r:id="rId6" w:history="1">
        <w:r>
          <w:t>http://www.open-contracting.org/global_principles</w:t>
        </w:r>
      </w:hyperlink>
      <w:r>
        <w:t>)</w:t>
      </w:r>
    </w:p>
    <w:p w:rsidR="003B30E6" w:rsidRDefault="003B30E6" w:rsidP="003B30E6">
      <w:pPr>
        <w:pStyle w:val="Footnote"/>
        <w:ind w:left="0" w:firstLine="0"/>
      </w:pPr>
    </w:p>
  </w:footnote>
  <w:footnote w:id="7">
    <w:p w:rsidR="003B30E6" w:rsidRDefault="003B30E6" w:rsidP="003B30E6">
      <w:pPr>
        <w:pStyle w:val="Allmrkusetekst"/>
      </w:pPr>
      <w:r>
        <w:rPr>
          <w:rStyle w:val="Allmrkuseviide"/>
        </w:rPr>
        <w:footnoteRef/>
      </w:r>
      <w:r>
        <w:t>G8: G8 Open Data Charter and Technical Annex (</w:t>
      </w:r>
      <w:hyperlink r:id="rId7" w:history="1">
        <w:r>
          <w:t>https://www.gov.uk/government/publications/open-data-charter/g8-open-data-charter-and-technical-annex</w:t>
        </w:r>
      </w:hyperlink>
      <w:r>
        <w:t xml:space="preserve">) </w:t>
      </w:r>
      <w:r>
        <w:tab/>
      </w:r>
    </w:p>
    <w:p w:rsidR="003B30E6" w:rsidRDefault="003B30E6" w:rsidP="003B30E6">
      <w:pPr>
        <w:pStyle w:val="Footnote"/>
      </w:pPr>
    </w:p>
  </w:footnote>
  <w:footnote w:id="8">
    <w:p w:rsidR="003B30E6" w:rsidRDefault="003B30E6" w:rsidP="003B30E6">
      <w:pPr>
        <w:pStyle w:val="Allmrkusetekst"/>
      </w:pPr>
      <w:r>
        <w:rPr>
          <w:rStyle w:val="Allmrkuseviide"/>
        </w:rPr>
        <w:footnoteRef/>
      </w:r>
      <w:r>
        <w:t xml:space="preserve">Whistleblowing in Europe: Legal Protections for </w:t>
      </w:r>
      <w:proofErr w:type="spellStart"/>
      <w:r>
        <w:t>Whistleblowers</w:t>
      </w:r>
      <w:proofErr w:type="spellEnd"/>
      <w:r>
        <w:t xml:space="preserve"> in the EU  (http://www.transparency.org/whatwedo/pub/whistleblowing_in_europe_legal_protections_for_whistleblowers_in_the_eu)</w:t>
      </w:r>
    </w:p>
    <w:p w:rsidR="003B30E6" w:rsidRDefault="003B30E6" w:rsidP="003B30E6">
      <w:pPr>
        <w:pStyle w:val="Footnote"/>
      </w:pPr>
    </w:p>
  </w:footnote>
  <w:footnote w:id="9">
    <w:p w:rsidR="003B30E6" w:rsidRDefault="003B30E6" w:rsidP="003B30E6">
      <w:pPr>
        <w:pStyle w:val="Allmrkusetekst"/>
      </w:pPr>
      <w:r>
        <w:rPr>
          <w:rStyle w:val="Allmrkuseviide"/>
        </w:rPr>
        <w:footnoteRef/>
      </w:r>
      <w:r>
        <w:rPr>
          <w:rFonts w:cs="Arial"/>
          <w:bCs/>
        </w:rPr>
        <w:t>European Parliament resolution of 23 October 2013 on organised crime, corruption and money laundering: recommendations on action and initiatives to be taken (final report) (</w:t>
      </w:r>
      <w:hyperlink r:id="rId8" w:history="1">
        <w:r>
          <w:rPr>
            <w:rFonts w:cs="Arial"/>
            <w:bCs/>
          </w:rPr>
          <w:t>2013/2107(INI)</w:t>
        </w:r>
      </w:hyperlink>
      <w:r>
        <w:rPr>
          <w:rFonts w:cs="Arial"/>
          <w:bCs/>
        </w:rPr>
        <w:t>)</w:t>
      </w:r>
    </w:p>
    <w:p w:rsidR="003B30E6" w:rsidRDefault="003B30E6" w:rsidP="003B30E6">
      <w:pPr>
        <w:pStyle w:val="Allmrkusetekst"/>
      </w:pPr>
      <w:r>
        <w:t>(http://www.europarl.europa.eu/sides/getDoc.do?type=TA&amp;reference=P7-TA-2013-0444&amp;language=EN)</w:t>
      </w:r>
    </w:p>
    <w:p w:rsidR="003B30E6" w:rsidRDefault="003B30E6" w:rsidP="003B30E6">
      <w:pPr>
        <w:pStyle w:val="Footnote"/>
      </w:pPr>
    </w:p>
  </w:footnote>
  <w:footnote w:id="10">
    <w:p w:rsidR="003B30E6" w:rsidRDefault="003B30E6" w:rsidP="003B30E6">
      <w:pPr>
        <w:pStyle w:val="Allmrkusetekst"/>
      </w:pPr>
      <w:r>
        <w:rPr>
          <w:rStyle w:val="Allmrkuseviide"/>
        </w:rPr>
        <w:footnoteRef/>
      </w:r>
      <w:r>
        <w:t xml:space="preserve">  Transparency International: EU Integrity System Study  (</w:t>
      </w:r>
      <w:hyperlink r:id="rId9" w:history="1">
        <w:r>
          <w:t>http://www.transparencyinternational.eu/focus_areas/eu-integrity-study</w:t>
        </w:r>
      </w:hyperlink>
      <w:r>
        <w:t xml:space="preserve">  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7C" w:rsidRDefault="006B5A7C" w:rsidP="006B5A7C">
    <w:pPr>
      <w:pStyle w:val="Pis"/>
      <w:jc w:val="right"/>
    </w:pPr>
    <w:r>
      <w:rPr>
        <w:noProof/>
        <w:lang w:eastAsia="et-EE"/>
      </w:rPr>
      <w:drawing>
        <wp:inline distT="0" distB="0" distL="0" distR="0">
          <wp:extent cx="1828800" cy="561975"/>
          <wp:effectExtent l="0" t="0" r="0" b="9525"/>
          <wp:docPr id="1" name="Pilt 1" descr="C:\Users\Anni\AppData\Local\Microsoft\Windows\INetCache\Content.Word\Korruptsioonivaba Eest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i\AppData\Local\Microsoft\Windows\INetCache\Content.Word\Korruptsioonivaba Eesti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5A7C" w:rsidRDefault="006B5A7C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84E75"/>
    <w:multiLevelType w:val="multilevel"/>
    <w:tmpl w:val="47F2679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82"/>
    <w:rsid w:val="00070C90"/>
    <w:rsid w:val="000C0A80"/>
    <w:rsid w:val="00196A9C"/>
    <w:rsid w:val="00355B31"/>
    <w:rsid w:val="0037049D"/>
    <w:rsid w:val="003B30E6"/>
    <w:rsid w:val="00454671"/>
    <w:rsid w:val="00465DC5"/>
    <w:rsid w:val="00495359"/>
    <w:rsid w:val="006B5A7C"/>
    <w:rsid w:val="007D3582"/>
    <w:rsid w:val="00AD51F9"/>
    <w:rsid w:val="00C772DC"/>
    <w:rsid w:val="00F338CF"/>
    <w:rsid w:val="00FC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BC86B-209E-4C0A-BE6C-03CBC9A9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rsid w:val="003B30E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en-GB"/>
    </w:rPr>
  </w:style>
  <w:style w:type="paragraph" w:styleId="Loendilik">
    <w:name w:val="List Paragraph"/>
    <w:basedOn w:val="Standard"/>
    <w:rsid w:val="003B30E6"/>
    <w:pPr>
      <w:ind w:left="720"/>
    </w:pPr>
  </w:style>
  <w:style w:type="paragraph" w:styleId="Allmrkusetekst">
    <w:name w:val="footnote text"/>
    <w:basedOn w:val="Standard"/>
    <w:link w:val="AllmrkusetekstMrk"/>
    <w:rsid w:val="003B30E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rsid w:val="003B30E6"/>
    <w:rPr>
      <w:rFonts w:ascii="Calibri" w:eastAsia="Calibri" w:hAnsi="Calibri" w:cs="Times New Roman"/>
      <w:kern w:val="3"/>
      <w:sz w:val="20"/>
      <w:szCs w:val="20"/>
      <w:lang w:val="en-GB"/>
    </w:rPr>
  </w:style>
  <w:style w:type="paragraph" w:customStyle="1" w:styleId="Footnote">
    <w:name w:val="Footnote"/>
    <w:basedOn w:val="Standard"/>
    <w:rsid w:val="003B30E6"/>
    <w:pPr>
      <w:suppressLineNumbers/>
      <w:ind w:left="283" w:hanging="283"/>
    </w:pPr>
    <w:rPr>
      <w:sz w:val="20"/>
      <w:szCs w:val="20"/>
    </w:rPr>
  </w:style>
  <w:style w:type="character" w:styleId="Allmrkuseviide">
    <w:name w:val="footnote reference"/>
    <w:basedOn w:val="Liguvaikefont"/>
    <w:rsid w:val="003B30E6"/>
    <w:rPr>
      <w:position w:val="0"/>
      <w:vertAlign w:val="superscript"/>
    </w:rPr>
  </w:style>
  <w:style w:type="numbering" w:customStyle="1" w:styleId="WWNum5">
    <w:name w:val="WWNum5"/>
    <w:basedOn w:val="Loendita"/>
    <w:rsid w:val="003B30E6"/>
    <w:pPr>
      <w:numPr>
        <w:numId w:val="1"/>
      </w:numPr>
    </w:pPr>
  </w:style>
  <w:style w:type="paragraph" w:styleId="Pis">
    <w:name w:val="header"/>
    <w:basedOn w:val="Normaallaad"/>
    <w:link w:val="PisMrk"/>
    <w:uiPriority w:val="99"/>
    <w:unhideWhenUsed/>
    <w:rsid w:val="006B5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B5A7C"/>
  </w:style>
  <w:style w:type="paragraph" w:styleId="Jalus">
    <w:name w:val="footer"/>
    <w:basedOn w:val="Normaallaad"/>
    <w:link w:val="JalusMrk"/>
    <w:uiPriority w:val="99"/>
    <w:unhideWhenUsed/>
    <w:rsid w:val="006B5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B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rl.europa.eu/oeil/popups/ficheprocedure.do?lang=en&amp;reference=2013/2107(INI)" TargetMode="External"/><Relationship Id="rId3" Type="http://schemas.openxmlformats.org/officeDocument/2006/relationships/hyperlink" Target="http://www.transparencyinternational.eu/focus_areas/eu-integrity-study" TargetMode="External"/><Relationship Id="rId7" Type="http://schemas.openxmlformats.org/officeDocument/2006/relationships/hyperlink" Target="https://www.gov.uk/government/publications/open-data-charter/g8-open-data-charter-and-technical-annex" TargetMode="External"/><Relationship Id="rId2" Type="http://schemas.openxmlformats.org/officeDocument/2006/relationships/hyperlink" Target="http://www.europarl.europa.eu/aboutparliament/en/0060f4f133/Ethics-and-transparency.html" TargetMode="External"/><Relationship Id="rId1" Type="http://schemas.openxmlformats.org/officeDocument/2006/relationships/hyperlink" Target="http://ec.europa.eu/public_opinion/archives/ebs/ebs_397_en.pdf" TargetMode="External"/><Relationship Id="rId6" Type="http://schemas.openxmlformats.org/officeDocument/2006/relationships/hyperlink" Target="http://www.open-contracting.org/global_principles" TargetMode="External"/><Relationship Id="rId5" Type="http://schemas.openxmlformats.org/officeDocument/2006/relationships/hyperlink" Target="http://www.transparency.org/files/content/corruptionqas/legislative_footprint.pdf" TargetMode="External"/><Relationship Id="rId4" Type="http://schemas.openxmlformats.org/officeDocument/2006/relationships/hyperlink" Target="http://www.transparency.org/files/content/event/2013_OpenParliament_EN.jpg" TargetMode="External"/><Relationship Id="rId9" Type="http://schemas.openxmlformats.org/officeDocument/2006/relationships/hyperlink" Target="http://www.transparencyinternational.eu/focus_areas/eu-integrity-stud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952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Tarmu Tammerk</dc:creator>
  <cp:keywords/>
  <dc:description/>
  <cp:lastModifiedBy>Anni Jatsa</cp:lastModifiedBy>
  <cp:revision>4</cp:revision>
  <dcterms:created xsi:type="dcterms:W3CDTF">2014-05-13T09:07:00Z</dcterms:created>
  <dcterms:modified xsi:type="dcterms:W3CDTF">2014-05-14T08:45:00Z</dcterms:modified>
</cp:coreProperties>
</file>